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0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4"/>
        <w:gridCol w:w="283"/>
        <w:gridCol w:w="4357"/>
        <w:gridCol w:w="1026"/>
      </w:tblGrid>
      <w:tr w14:paraId="4D13C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7" w:type="dxa"/>
          <w:trHeight w:val="1418" w:hRule="atLeast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03DF6D77">
            <w:pPr>
              <w:keepNext/>
              <w:spacing w:line="276" w:lineRule="auto"/>
              <w:jc w:val="center"/>
              <w:outlineLvl w:val="1"/>
            </w:pPr>
          </w:p>
          <w:p w14:paraId="37AE0488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14:paraId="146BFE31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СЕЛЬСКОГО ПОСЕЛЕНИЯ</w:t>
            </w:r>
          </w:p>
          <w:p w14:paraId="7895A2F0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«БАРАГХАН»</w:t>
            </w:r>
          </w:p>
          <w:p w14:paraId="20157557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8897B2">
            <w:pPr>
              <w:keepNext/>
              <w:spacing w:line="276" w:lineRule="auto"/>
              <w:jc w:val="center"/>
              <w:outlineLvl w:val="1"/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1626E2E2">
            <w:pPr>
              <w:keepNext/>
              <w:spacing w:line="276" w:lineRule="auto"/>
              <w:jc w:val="center"/>
              <w:outlineLvl w:val="1"/>
            </w:pPr>
          </w:p>
          <w:p w14:paraId="1615CE70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БУРЯАД РЕСПУБЛИКЫН ХУРАХААНАЙ АЙМАГАЙ «БАРАГХАН»  ГЭЖЭ МУНИЦИПАЛЬНА ЗАХИРГААН</w:t>
            </w:r>
          </w:p>
        </w:tc>
      </w:tr>
      <w:tr w14:paraId="512D4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0207" w:type="dxa"/>
            <w:gridSpan w:val="4"/>
            <w:tcBorders>
              <w:top w:val="double" w:color="auto" w:sz="18" w:space="0"/>
              <w:left w:val="nil"/>
              <w:bottom w:val="nil"/>
              <w:right w:val="nil"/>
            </w:tcBorders>
          </w:tcPr>
          <w:p w14:paraId="090A1B4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eastAsia="Calibri" w:cs="Times New Roman CYR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eastAsia="Calibri" w:cs="Times New Roman CYR"/>
                <w:sz w:val="20"/>
                <w:szCs w:val="20"/>
              </w:rPr>
              <w:t>Республика Бурятия, Курумканский район, улус Барагхан , ул.Ленина 40, тел.(факс)8(30149)92-617;</w:t>
            </w:r>
          </w:p>
          <w:p w14:paraId="7A124ADD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eastAsia="Calibri" w:cs="Calibri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e-mail: </w:t>
            </w:r>
            <w:r>
              <w:fldChar w:fldCharType="begin"/>
            </w:r>
            <w:r>
              <w:instrText xml:space="preserve"> HYPERLINK "mailto:admbaraghan@yandex.ru" </w:instrText>
            </w:r>
            <w:r>
              <w:fldChar w:fldCharType="separate"/>
            </w:r>
            <w:r>
              <w:rPr>
                <w:rStyle w:val="4"/>
                <w:rFonts w:eastAsia="Calibri"/>
                <w:color w:val="000000"/>
                <w:sz w:val="20"/>
                <w:szCs w:val="20"/>
                <w:lang w:val="en-US"/>
              </w:rPr>
              <w:t>admbaraghan@yandex.ru</w:t>
            </w:r>
            <w:r>
              <w:rPr>
                <w:rStyle w:val="4"/>
                <w:rFonts w:eastAsia="Calibri"/>
                <w:color w:val="000000"/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72A5F375">
      <w:pPr>
        <w:suppressAutoHyphens/>
        <w:ind w:firstLine="567"/>
        <w:jc w:val="center"/>
        <w:rPr>
          <w:b/>
          <w:sz w:val="24"/>
          <w:szCs w:val="24"/>
          <w:lang w:eastAsia="zh-CN"/>
        </w:rPr>
      </w:pPr>
    </w:p>
    <w:p w14:paraId="6C63C597">
      <w:pPr>
        <w:suppressAutoHyphens/>
        <w:ind w:firstLine="567"/>
        <w:jc w:val="center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ТОГТООЛ</w:t>
      </w:r>
    </w:p>
    <w:p w14:paraId="7BFF0C50">
      <w:pPr>
        <w:suppressAutoHyphens/>
        <w:ind w:firstLine="567"/>
        <w:jc w:val="center"/>
        <w:rPr>
          <w:b/>
          <w:sz w:val="24"/>
          <w:szCs w:val="24"/>
          <w:lang w:eastAsia="zh-CN"/>
        </w:rPr>
      </w:pPr>
    </w:p>
    <w:p w14:paraId="106DF538">
      <w:pPr>
        <w:suppressAutoHyphens/>
        <w:ind w:firstLine="567"/>
        <w:jc w:val="center"/>
        <w:rPr>
          <w:rFonts w:hint="default"/>
          <w:b/>
          <w:sz w:val="24"/>
          <w:szCs w:val="24"/>
          <w:lang w:val="ru-RU" w:eastAsia="zh-CN"/>
        </w:rPr>
      </w:pPr>
      <w:r>
        <w:rPr>
          <w:b/>
          <w:sz w:val="24"/>
          <w:szCs w:val="24"/>
          <w:lang w:eastAsia="zh-CN"/>
        </w:rPr>
        <w:t>ПОСТАНОВЛЕНИЕ №</w:t>
      </w:r>
      <w:r>
        <w:rPr>
          <w:rFonts w:hint="default"/>
          <w:b/>
          <w:sz w:val="24"/>
          <w:szCs w:val="24"/>
          <w:lang w:val="ru-RU" w:eastAsia="zh-CN"/>
        </w:rPr>
        <w:t>1</w:t>
      </w:r>
    </w:p>
    <w:p w14:paraId="3AB083DC">
      <w:pPr>
        <w:suppressAutoHyphens/>
        <w:ind w:firstLine="567"/>
        <w:jc w:val="center"/>
        <w:rPr>
          <w:b/>
          <w:sz w:val="24"/>
          <w:szCs w:val="24"/>
          <w:lang w:eastAsia="zh-CN"/>
        </w:rPr>
      </w:pPr>
    </w:p>
    <w:p w14:paraId="110E195F">
      <w:pPr>
        <w:suppressAutoHyphens/>
        <w:ind w:firstLine="567"/>
        <w:jc w:val="center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от 17 января 2025 года</w:t>
      </w:r>
    </w:p>
    <w:p w14:paraId="0E59C687">
      <w:pPr>
        <w:jc w:val="center"/>
        <w:rPr>
          <w:b/>
        </w:rPr>
      </w:pPr>
    </w:p>
    <w:p w14:paraId="3D2FD61C">
      <w:pPr>
        <w:jc w:val="center"/>
        <w:rPr>
          <w:b/>
          <w:sz w:val="26"/>
          <w:szCs w:val="26"/>
        </w:rPr>
      </w:pPr>
    </w:p>
    <w:p w14:paraId="7F12065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«О внесении изменений в Постановление Администрации сельского поселения «</w:t>
      </w:r>
      <w:r>
        <w:rPr>
          <w:b/>
          <w:sz w:val="26"/>
          <w:szCs w:val="26"/>
          <w:lang w:val="ru-RU"/>
        </w:rPr>
        <w:t>Барагхан</w:t>
      </w:r>
      <w:r>
        <w:rPr>
          <w:b/>
          <w:sz w:val="26"/>
          <w:szCs w:val="26"/>
        </w:rPr>
        <w:t>» Курумканского района № 1</w:t>
      </w:r>
      <w:r>
        <w:rPr>
          <w:rFonts w:hint="default"/>
          <w:b/>
          <w:sz w:val="26"/>
          <w:szCs w:val="26"/>
          <w:lang w:val="ru-RU"/>
        </w:rPr>
        <w:t>9</w:t>
      </w:r>
      <w:r>
        <w:rPr>
          <w:b/>
          <w:sz w:val="26"/>
          <w:szCs w:val="26"/>
        </w:rPr>
        <w:t xml:space="preserve"> от 2</w:t>
      </w:r>
      <w:r>
        <w:rPr>
          <w:rFonts w:hint="default"/>
          <w:b/>
          <w:sz w:val="26"/>
          <w:szCs w:val="26"/>
          <w:lang w:val="ru-RU"/>
        </w:rPr>
        <w:t>3</w:t>
      </w:r>
      <w:r>
        <w:rPr>
          <w:b/>
          <w:sz w:val="26"/>
          <w:szCs w:val="26"/>
        </w:rPr>
        <w:t>.11.2022 г. «Об утверждении Порядка привлечения остатка средств на единый счет бюджета сельского поселения «</w:t>
      </w:r>
      <w:r>
        <w:rPr>
          <w:b/>
          <w:sz w:val="26"/>
          <w:szCs w:val="26"/>
          <w:lang w:val="ru-RU"/>
        </w:rPr>
        <w:t>Барагхан</w:t>
      </w:r>
      <w:r>
        <w:rPr>
          <w:b/>
          <w:sz w:val="26"/>
          <w:szCs w:val="26"/>
        </w:rPr>
        <w:t>» Курумканского района и возврата привлеченных средств»</w:t>
      </w:r>
    </w:p>
    <w:p w14:paraId="6B90B0E6">
      <w:pPr>
        <w:rPr>
          <w:b/>
          <w:sz w:val="26"/>
          <w:szCs w:val="26"/>
        </w:rPr>
      </w:pPr>
    </w:p>
    <w:p w14:paraId="7233229B">
      <w:pPr>
        <w:jc w:val="center"/>
        <w:rPr>
          <w:b/>
          <w:sz w:val="26"/>
          <w:szCs w:val="26"/>
        </w:rPr>
      </w:pPr>
    </w:p>
    <w:p w14:paraId="149750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В соответствии с Постановление Правительства Российской Федерации от 30.03.2020 г.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 бюджета) и возврата привлеченных средств» Администрация сельского поселения "</w:t>
      </w:r>
      <w:r>
        <w:rPr>
          <w:sz w:val="26"/>
          <w:szCs w:val="26"/>
          <w:lang w:val="ru-RU"/>
        </w:rPr>
        <w:t>Барагхан</w:t>
      </w:r>
      <w:r>
        <w:rPr>
          <w:sz w:val="26"/>
          <w:szCs w:val="26"/>
        </w:rPr>
        <w:t>" Курумканского района постановляет внести следующие изменения в Постановление Администрации сельского поселения «</w:t>
      </w:r>
      <w:r>
        <w:rPr>
          <w:sz w:val="26"/>
          <w:szCs w:val="26"/>
          <w:lang w:val="ru-RU"/>
        </w:rPr>
        <w:t>Барагхан</w:t>
      </w:r>
      <w:r>
        <w:rPr>
          <w:sz w:val="26"/>
          <w:szCs w:val="26"/>
        </w:rPr>
        <w:t>» Курумканского района № 1</w:t>
      </w:r>
      <w:r>
        <w:rPr>
          <w:rFonts w:hint="default"/>
          <w:sz w:val="26"/>
          <w:szCs w:val="26"/>
          <w:lang w:val="ru-RU"/>
        </w:rPr>
        <w:t>9</w:t>
      </w:r>
      <w:r>
        <w:rPr>
          <w:sz w:val="26"/>
          <w:szCs w:val="26"/>
        </w:rPr>
        <w:t xml:space="preserve"> от 2</w:t>
      </w:r>
      <w:r>
        <w:rPr>
          <w:rFonts w:hint="default"/>
          <w:sz w:val="26"/>
          <w:szCs w:val="26"/>
          <w:lang w:val="ru-RU"/>
        </w:rPr>
        <w:t>3</w:t>
      </w:r>
      <w:r>
        <w:rPr>
          <w:sz w:val="26"/>
          <w:szCs w:val="26"/>
        </w:rPr>
        <w:t>.11.2022 г. «Об утверждении Порядка привлечения остатка средств на единый счет бюджета сельского поселения «</w:t>
      </w:r>
      <w:r>
        <w:rPr>
          <w:sz w:val="26"/>
          <w:szCs w:val="26"/>
          <w:lang w:val="ru-RU"/>
        </w:rPr>
        <w:t>Барагхан</w:t>
      </w:r>
      <w:r>
        <w:rPr>
          <w:sz w:val="26"/>
          <w:szCs w:val="26"/>
        </w:rPr>
        <w:t>» Курумканского района и возврата привлеченных средств (далее – Порядок)»:</w:t>
      </w:r>
    </w:p>
    <w:p w14:paraId="61D1ED89">
      <w:pPr>
        <w:jc w:val="both"/>
        <w:rPr>
          <w:sz w:val="26"/>
          <w:szCs w:val="26"/>
        </w:rPr>
      </w:pPr>
    </w:p>
    <w:p w14:paraId="73A651F9">
      <w:pPr>
        <w:pStyle w:val="5"/>
        <w:numPr>
          <w:ilvl w:val="0"/>
          <w:numId w:val="1"/>
        </w:numPr>
        <w:spacing w:before="0" w:beforeAutospacing="0" w:after="0" w:afterAutospacing="0"/>
        <w:ind w:left="426" w:hanging="426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Дополнить разделом IV следующего содержания:</w:t>
      </w:r>
    </w:p>
    <w:p w14:paraId="1165119A">
      <w:pPr>
        <w:pStyle w:val="5"/>
        <w:spacing w:before="0" w:beforeAutospacing="0" w:after="0" w:afterAutospacing="0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«</w:t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IV. Условие о формировании распоряжения о совершении казначейских платежей, необходимого для обеспечения привлечения остатков средств на единый счет местного бюджета и их возврата, территориальным органом Федерального казначейства в случае передачи ему функций финансового органа муниципального образования, связанных с привлечением на единый счет местного бюджета и возвратом привлеченных средств в соответствии со статьей 220.2 </w:t>
      </w:r>
      <w:r>
        <w:fldChar w:fldCharType="begin"/>
      </w:r>
      <w:r>
        <w:instrText xml:space="preserve"> HYPERLINK "https://pravo-search.minjust.ru/bigs/showDocument.html?id=8F21B21C-A408-42C4-B9FE-A939B863C84A" \t "_blank" </w:instrText>
      </w:r>
      <w:r>
        <w:fldChar w:fldCharType="separate"/>
      </w:r>
      <w:r>
        <w:rPr>
          <w:rStyle w:val="6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Бюджетного кодекса Российской Федерации</w:t>
      </w:r>
      <w:r>
        <w:rPr>
          <w:rStyle w:val="6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fldChar w:fldCharType="end"/>
      </w:r>
      <w:r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 (далее - передача функций, связанных с привлечением (возвратом) средств).</w:t>
      </w:r>
    </w:p>
    <w:p w14:paraId="623A68E4">
      <w:pPr>
        <w:pStyle w:val="5"/>
        <w:spacing w:before="0" w:beforeAutospacing="0" w:after="0" w:afterAutospacing="0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11. В случае передачи функций, связанных с привлечением (возвратом) средств, местная администрация согласовывает проект правового акта, устанавливающего (изменяющего) порядок привлечения остатков средств с казначейских счетов на единый счет местного бюджета и их возврата на казначейские счета, с которых они были ранее перечислены, с территориальным органом Федерального казначейства, принявшим (принимающим) указанные функции.».</w:t>
      </w:r>
    </w:p>
    <w:p w14:paraId="5C829DBF">
      <w:pPr>
        <w:jc w:val="both"/>
        <w:rPr>
          <w:sz w:val="26"/>
          <w:szCs w:val="26"/>
        </w:rPr>
      </w:pPr>
    </w:p>
    <w:p w14:paraId="7773D07B">
      <w:pPr>
        <w:pStyle w:val="7"/>
        <w:numPr>
          <w:ilvl w:val="0"/>
          <w:numId w:val="1"/>
        </w:numPr>
        <w:ind w:left="426" w:leftChars="0" w:hanging="426" w:firstLineChars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подписания.</w:t>
      </w:r>
    </w:p>
    <w:p w14:paraId="54F3DF36">
      <w:pPr>
        <w:pStyle w:val="7"/>
        <w:numPr>
          <w:numId w:val="0"/>
        </w:numPr>
        <w:ind w:leftChars="0"/>
        <w:jc w:val="both"/>
        <w:rPr>
          <w:rFonts w:ascii="Times New Roman" w:hAnsi="Times New Roman" w:cs="Times New Roman"/>
          <w:sz w:val="26"/>
          <w:szCs w:val="26"/>
        </w:rPr>
      </w:pPr>
    </w:p>
    <w:p w14:paraId="5F139E6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  <w:t>Глава</w:t>
      </w:r>
      <w:r>
        <w:rPr>
          <w:rFonts w:hint="default" w:ascii="Times New Roman" w:hAnsi="Times New Roman" w:eastAsia="Times New Roman" w:cs="Times New Roman"/>
          <w:b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  <w:t>СП</w:t>
      </w:r>
      <w:r>
        <w:rPr>
          <w:rFonts w:hint="default" w:ascii="Times New Roman" w:hAnsi="Times New Roman" w:eastAsia="Times New Roman" w:cs="Times New Roman"/>
          <w:b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  <w:t>Барагхан:                               Б.М.Шакшаев</w:t>
      </w:r>
    </w:p>
    <w:p w14:paraId="1847D9E3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  <w:t xml:space="preserve">                                          </w:t>
      </w:r>
    </w:p>
    <w:p w14:paraId="25DD078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1C4AF1F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57E2C85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627199CF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66745FE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6433F44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B311BBE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2476BE8F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C8FE52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2A9A8B18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55D60DC4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1225060F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130C4288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462BE3EC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4F6C4AA4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2E2D0485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E350A9F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023536A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57C4CAD4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69D806E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0C77173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414C130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4DBF7FF8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26B683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14C0F398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1C1932C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261B7BF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9E6E2FE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419DADFC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4DB35F5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2DC7224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5D79FB3C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tbl>
      <w:tblPr>
        <w:tblStyle w:val="3"/>
        <w:tblW w:w="1020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4"/>
        <w:gridCol w:w="283"/>
        <w:gridCol w:w="4357"/>
        <w:gridCol w:w="1026"/>
      </w:tblGrid>
      <w:tr w14:paraId="5C23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7" w:type="dxa"/>
          <w:trHeight w:val="1418" w:hRule="atLeast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BFCAA69">
            <w:pPr>
              <w:keepNext/>
              <w:spacing w:line="276" w:lineRule="auto"/>
              <w:jc w:val="center"/>
              <w:outlineLvl w:val="1"/>
            </w:pPr>
          </w:p>
          <w:p w14:paraId="7F8CFF3E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14:paraId="5EF8EBB0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СЕЛЬСКОГО ПОСЕЛЕНИЯ</w:t>
            </w:r>
          </w:p>
          <w:p w14:paraId="15917E20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«БАРАГХАН»</w:t>
            </w:r>
          </w:p>
          <w:p w14:paraId="09A9FC23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1A4B3CE">
            <w:pPr>
              <w:keepNext/>
              <w:spacing w:line="276" w:lineRule="auto"/>
              <w:jc w:val="center"/>
              <w:outlineLvl w:val="1"/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3C533281">
            <w:pPr>
              <w:keepNext/>
              <w:spacing w:line="276" w:lineRule="auto"/>
              <w:jc w:val="center"/>
              <w:outlineLvl w:val="1"/>
            </w:pPr>
          </w:p>
          <w:p w14:paraId="5DAB9348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БУРЯАД РЕСПУБЛИКЫН ХУРАХААНАЙ АЙМАГАЙ «БАРАГХАН»  ГЭЖЭ МУНИЦИПАЛЬНА ЗАХИРГААН</w:t>
            </w:r>
          </w:p>
        </w:tc>
      </w:tr>
      <w:tr w14:paraId="4C09D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0207" w:type="dxa"/>
            <w:gridSpan w:val="4"/>
            <w:tcBorders>
              <w:top w:val="double" w:color="auto" w:sz="18" w:space="0"/>
              <w:left w:val="nil"/>
              <w:bottom w:val="nil"/>
              <w:right w:val="nil"/>
            </w:tcBorders>
          </w:tcPr>
          <w:p w14:paraId="25EB3B9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eastAsia="Calibri" w:cs="Times New Roman CYR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eastAsia="Calibri" w:cs="Times New Roman CYR"/>
                <w:sz w:val="20"/>
                <w:szCs w:val="20"/>
              </w:rPr>
              <w:t>Республика Бурятия, Курумканский район, улус Барагхан , ул.Ленина 40, тел.(факс)8(30149)92-617;</w:t>
            </w:r>
          </w:p>
          <w:p w14:paraId="6E75B05A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eastAsia="Calibri" w:cs="Calibri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e-mail: </w:t>
            </w:r>
            <w:r>
              <w:fldChar w:fldCharType="begin"/>
            </w:r>
            <w:r>
              <w:instrText xml:space="preserve"> HYPERLINK "mailto:admbaraghan@yandex.ru" </w:instrText>
            </w:r>
            <w:r>
              <w:fldChar w:fldCharType="separate"/>
            </w:r>
            <w:r>
              <w:rPr>
                <w:rStyle w:val="4"/>
                <w:rFonts w:eastAsia="Calibri"/>
                <w:color w:val="000000"/>
                <w:sz w:val="20"/>
                <w:szCs w:val="20"/>
                <w:lang w:val="en-US"/>
              </w:rPr>
              <w:t>admbaraghan@yandex.ru</w:t>
            </w:r>
            <w:r>
              <w:rPr>
                <w:rStyle w:val="4"/>
                <w:rFonts w:eastAsia="Calibri"/>
                <w:color w:val="000000"/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7EB8D078">
      <w:pPr>
        <w:spacing w:after="0" w:line="240" w:lineRule="auto"/>
        <w:jc w:val="center"/>
        <w:rPr>
          <w:rFonts w:hint="default" w:cs="Times New Roman"/>
          <w:b/>
          <w:sz w:val="26"/>
          <w:szCs w:val="26"/>
          <w:lang w:val="en-US" w:eastAsia="ru-RU"/>
        </w:rPr>
      </w:pPr>
      <w:r>
        <w:rPr>
          <w:rFonts w:hint="default" w:cs="Times New Roman"/>
          <w:b/>
          <w:sz w:val="26"/>
          <w:szCs w:val="26"/>
          <w:lang w:val="en-US" w:eastAsia="ru-RU"/>
        </w:rPr>
        <w:t xml:space="preserve">                                                                       </w:t>
      </w:r>
    </w:p>
    <w:p w14:paraId="459CC8A7">
      <w:pPr>
        <w:spacing w:after="0" w:line="240" w:lineRule="auto"/>
        <w:jc w:val="center"/>
        <w:rPr>
          <w:rFonts w:hint="default" w:cs="Times New Roman"/>
          <w:b/>
          <w:sz w:val="26"/>
          <w:szCs w:val="26"/>
          <w:lang w:val="en-US" w:eastAsia="ru-RU"/>
        </w:rPr>
      </w:pPr>
    </w:p>
    <w:p w14:paraId="74F02203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b/>
          <w:sz w:val="26"/>
          <w:szCs w:val="26"/>
          <w:lang w:val="en-US" w:eastAsia="ru-RU"/>
        </w:rPr>
      </w:pPr>
      <w:r>
        <w:rPr>
          <w:rFonts w:hint="default" w:cs="Times New Roman"/>
          <w:b/>
          <w:sz w:val="26"/>
          <w:szCs w:val="26"/>
          <w:lang w:val="en-US" w:eastAsia="ru-RU"/>
        </w:rPr>
        <w:t xml:space="preserve">              Актуальная  редакция</w:t>
      </w:r>
    </w:p>
    <w:p w14:paraId="2A985D3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ПОСТАНОВЛЕНИЕ</w:t>
      </w:r>
    </w:p>
    <w:p w14:paraId="6DDC24A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от «23» ноября 2022 года № 19</w:t>
      </w:r>
      <w:bookmarkStart w:id="0" w:name="_GoBack"/>
      <w:bookmarkEnd w:id="0"/>
    </w:p>
    <w:p w14:paraId="6ECCA3B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1CEA0F6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</w:p>
    <w:p w14:paraId="2C1A582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29BE7B7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Об утверждении порядка привлечения остатков средств на единый счет бюджета сельского поселения "Барагхан" Курумканского района и возврата привлеченных средств</w:t>
      </w:r>
    </w:p>
    <w:p w14:paraId="1EE294B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3A79A3E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00661304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      В соответствии со статьей 236.1 Бюджетного кодекса Российской Федерации Администрация сельского поселения "Барагхан" Курумканского района постановляет:</w:t>
      </w:r>
    </w:p>
    <w:p w14:paraId="50323933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 w14:paraId="1F7DA142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1. Утвердить Порядок привлечения остатков средств на единый счет бюджета сельского поселения "Барагхан" Курумканского района и возврата привлеченных средств (приложение).</w:t>
      </w:r>
    </w:p>
    <w:p w14:paraId="1DE6EED1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 w14:paraId="0A41479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2. Настоящее постановление вступает в силу со дня подписания.</w:t>
      </w:r>
    </w:p>
    <w:p w14:paraId="1E6AFF03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4E9F1082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28FA6296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2B1078E8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0AF49D3F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  <w:t>Глава</w:t>
      </w:r>
      <w:r>
        <w:rPr>
          <w:rFonts w:hint="default" w:ascii="Times New Roman" w:hAnsi="Times New Roman" w:eastAsia="Times New Roman" w:cs="Times New Roman"/>
          <w:b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  <w:t>СП</w:t>
      </w:r>
      <w:r>
        <w:rPr>
          <w:rFonts w:hint="default" w:ascii="Times New Roman" w:hAnsi="Times New Roman" w:eastAsia="Times New Roman" w:cs="Times New Roman"/>
          <w:b/>
          <w:sz w:val="28"/>
          <w:szCs w:val="2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  <w:t>Барагхан:                               Б.М.Шакшаев</w:t>
      </w:r>
    </w:p>
    <w:p w14:paraId="2C04F1C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  <w:t xml:space="preserve">                                          </w:t>
      </w:r>
    </w:p>
    <w:p w14:paraId="7A5FB14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4108C003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67EEEF0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41211DE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1DE684A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5C3ED99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A4FC288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337D0EB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42B67B9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4C019B1F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16005F9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03A786D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CF9F2C1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7D47BD8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635C35EC">
      <w:pPr>
        <w:spacing w:after="0" w:line="240" w:lineRule="auto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Утвержден</w:t>
      </w:r>
    </w:p>
    <w:p w14:paraId="084FA915">
      <w:pPr>
        <w:spacing w:after="0" w:line="240" w:lineRule="auto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Постановлением Администрации сельского поселения</w:t>
      </w:r>
    </w:p>
    <w:p w14:paraId="3F0F4A40">
      <w:pPr>
        <w:spacing w:after="0" w:line="240" w:lineRule="auto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"Барагхан" Курумканского района</w:t>
      </w:r>
    </w:p>
    <w:p w14:paraId="317FDD2B">
      <w:pPr>
        <w:spacing w:after="0" w:line="240" w:lineRule="auto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от "23" ноября 2022 № 19</w:t>
      </w:r>
    </w:p>
    <w:p w14:paraId="25CBA7F6">
      <w:pPr>
        <w:spacing w:after="0" w:line="240" w:lineRule="auto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 w14:paraId="1BB559BA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Порядок</w:t>
      </w:r>
    </w:p>
    <w:p w14:paraId="4CE52CB7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 xml:space="preserve">привлечения остатков средств на единый счет бюджета сельского поселения 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«Барагхан</w:t>
      </w:r>
      <w:r>
        <w:rPr>
          <w:rFonts w:hint="default" w:ascii="Times New Roman" w:hAnsi="Times New Roman" w:cs="Times New Roman"/>
          <w:b/>
          <w:sz w:val="26"/>
          <w:szCs w:val="26"/>
        </w:rPr>
        <w:t>" Курумканского района и возврата привлеченных средств</w:t>
      </w:r>
    </w:p>
    <w:p w14:paraId="71FF6806">
      <w:pPr>
        <w:jc w:val="center"/>
        <w:rPr>
          <w:rFonts w:hint="default" w:ascii="Times New Roman" w:hAnsi="Times New Roman" w:cs="Times New Roman"/>
          <w:sz w:val="26"/>
          <w:szCs w:val="26"/>
        </w:rPr>
      </w:pPr>
    </w:p>
    <w:p w14:paraId="7133CEC7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hint="default" w:ascii="Times New Roman" w:hAnsi="Times New Roman" w:cs="Times New Roman"/>
          <w:b/>
          <w:sz w:val="26"/>
          <w:szCs w:val="26"/>
        </w:rPr>
        <w:t>. Общие положения</w:t>
      </w:r>
    </w:p>
    <w:p w14:paraId="3B37D6D1">
      <w:pPr>
        <w:jc w:val="center"/>
        <w:rPr>
          <w:rFonts w:hint="default" w:ascii="Times New Roman" w:hAnsi="Times New Roman" w:cs="Times New Roman"/>
          <w:sz w:val="26"/>
          <w:szCs w:val="26"/>
        </w:rPr>
      </w:pPr>
    </w:p>
    <w:p w14:paraId="7628B408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1. Настоящий Порядок устанавливает правила привлечения остатков средств на единый счет бюджета сельского поселения "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Барагхан</w:t>
      </w:r>
      <w:r>
        <w:rPr>
          <w:rFonts w:hint="default" w:ascii="Times New Roman" w:hAnsi="Times New Roman" w:cs="Times New Roman"/>
          <w:sz w:val="26"/>
          <w:szCs w:val="26"/>
        </w:rPr>
        <w:t>" Курумканского района с казначейских счетов и возврата привлеченных средств на казначейские счета, с которых они были ранее перечислены.</w:t>
      </w:r>
    </w:p>
    <w:p w14:paraId="1E045B71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059F3A3A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2. В целях настоящего Порядка казначейскими счетами являются:</w:t>
      </w:r>
    </w:p>
    <w:p w14:paraId="2BAE00DF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    1) казначейские счета для осуществления и отражения операций с денежными средствами, поступающими во временное распоряжение получателей средств бюджета сельского поселения "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Барагхан</w:t>
      </w:r>
      <w:r>
        <w:rPr>
          <w:rFonts w:hint="default" w:ascii="Times New Roman" w:hAnsi="Times New Roman" w:cs="Times New Roman"/>
          <w:sz w:val="26"/>
          <w:szCs w:val="26"/>
        </w:rPr>
        <w:t>" Курумканского района (далее - местный бюджет);</w:t>
      </w:r>
    </w:p>
    <w:p w14:paraId="7E9DBA13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    2) казначейские счета для осуществления и отражения операций с денежными средствами муниципальных бюджетных и автономных учреждений;</w:t>
      </w:r>
    </w:p>
    <w:p w14:paraId="6CE75C1A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    3) казначейские счета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учреждениями.</w:t>
      </w:r>
    </w:p>
    <w:p w14:paraId="047B522F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39F3470D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3. Привлечение остатков средств с казначейских счетов на единый счет местного бюджета, а также их возврат осуществляет Финансовое управление администрации муниципального образования "Курумканский район" (далее - финансовое управление).</w:t>
      </w:r>
    </w:p>
    <w:p w14:paraId="726FC9DA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09356DA0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4. Финансовое управление осуществляет учет средств части сумм, поступивших на единый счет местного бюджета с казначейских счетов, перечисленных с единого счета местного бюджета на казначейские счета, с которых они были ранее привлечены.</w:t>
      </w:r>
    </w:p>
    <w:p w14:paraId="419E695A">
      <w:pPr>
        <w:jc w:val="center"/>
        <w:rPr>
          <w:rFonts w:hint="default" w:ascii="Times New Roman" w:hAnsi="Times New Roman" w:cs="Times New Roman"/>
          <w:sz w:val="26"/>
          <w:szCs w:val="26"/>
        </w:rPr>
      </w:pPr>
    </w:p>
    <w:p w14:paraId="384017EA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hint="default" w:ascii="Times New Roman" w:hAnsi="Times New Roman" w:cs="Times New Roman"/>
          <w:b/>
          <w:sz w:val="26"/>
          <w:szCs w:val="26"/>
        </w:rPr>
        <w:t>. Условия и порядок привлечения остатков средств на единый счет местного бюджета</w:t>
      </w:r>
    </w:p>
    <w:p w14:paraId="5445DA57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5DC9374C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5. Финансовое управление осуществляет привлечение остатков средств с казначейских счетов на единый счет местного бюджета в случае наличия на казначейском счете остатков средств свыше 100 млн. рублей.</w:t>
      </w:r>
    </w:p>
    <w:p w14:paraId="68A5872E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31A70FA7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6. Объем привлекаемых средств определяется исходя из остатков средств на казначейских счетах,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 в соответствии со статьей 242.7 Бюджетного кодекса Российской Федерации.</w:t>
      </w:r>
    </w:p>
    <w:p w14:paraId="0D53BEE6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76C6B3CA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7. Финансовое управление представляет распоряжения о совершении казначейских платежей не позднее 16 часов местного времени (в дни, непосредственно предшествующие выходным и нерабочим праздничным дням, - до 15 часов местного времени) текущего дня.</w:t>
      </w:r>
    </w:p>
    <w:p w14:paraId="49D8140F">
      <w:pPr>
        <w:jc w:val="both"/>
        <w:rPr>
          <w:rFonts w:hint="default" w:ascii="Times New Roman" w:hAnsi="Times New Roman" w:cs="Times New Roman"/>
          <w:b/>
          <w:sz w:val="26"/>
          <w:szCs w:val="26"/>
        </w:rPr>
      </w:pPr>
    </w:p>
    <w:p w14:paraId="15CCCE6D">
      <w:pPr>
        <w:jc w:val="both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en-US"/>
        </w:rPr>
        <w:t>III</w:t>
      </w:r>
      <w:r>
        <w:rPr>
          <w:rFonts w:hint="default" w:ascii="Times New Roman" w:hAnsi="Times New Roman" w:cs="Times New Roman"/>
          <w:b/>
          <w:sz w:val="26"/>
          <w:szCs w:val="26"/>
        </w:rPr>
        <w:t>. Условия и порядок возврата средств, привлеченных на единый счет местного бюджета</w:t>
      </w:r>
    </w:p>
    <w:p w14:paraId="0A1238BB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1F4218E0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8. Финансовое управление осуществляет возврат привлеченных в соответствии с п. 10 ст. 236.1 Бюджетного кодекса Российской Федерации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средств.</w:t>
      </w:r>
    </w:p>
    <w:p w14:paraId="56D581D7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50A7FCA5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9. Объем средств, подлежащих возврату на соответствующие казначейские счета, определяется исходя из суммы средств, необходимых для проведения операций со средствами, поступающими во временное распоряжение получателей средств местного бюджета, муниципальных бюджетных и автономных учреждений, юридических лиц, не являющихся участниками бюджетного процесса, с соблюдением требований, установленных пунктом 3.3 настоящего Порядка.</w:t>
      </w:r>
    </w:p>
    <w:p w14:paraId="69E09129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512C9570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10. Перечисление средств с единого счета местного бюджета, предусмотренных пунктом 3.2 настоящего Порядка, осуществляется в пределах суммы, не превышающей разницу между объемом средств, поступивших в течение текущего финансового года с этого казначейского счета на единый счет местного бюджета, и объемом средств, перечисленных с единого счета местного бюджета на данный казначейский счет в течение текущего финансового года.</w:t>
      </w:r>
    </w:p>
    <w:p w14:paraId="71936CBE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17823EB9">
      <w:pPr>
        <w:pStyle w:val="5"/>
        <w:spacing w:before="0" w:beforeAutospacing="0" w:after="0" w:afterAutospacing="0"/>
        <w:jc w:val="both"/>
        <w:rPr>
          <w:rFonts w:hint="default" w:ascii="Times New Roman" w:hAnsi="Times New Roman" w:cs="Times New Roman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IV. Условие о формировании распоряжения о совершении казначейских платежей, необходимого для обеспечения привлечения остатков средств на единый счет местного бюджета и их возврата, территориальным органом Федерального казначейства в случае передачи ему функций финансового органа муниципального образования, связанных с привлечением на единый счет местного бюджета и возвратом привлеченных средств в соответствии со статьей 220.2 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"https://pravo-search.minjust.ru/bigs/showDocument.html?id=8F21B21C-A408-42C4-B9FE-A939B863C84A" \t "_blank"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8"/>
          <w:rFonts w:hint="default" w:ascii="Times New Roman" w:hAnsi="Times New Roman" w:cs="Times New Roman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Бюджетного кодекса Российской Федерации</w:t>
      </w:r>
      <w:r>
        <w:rPr>
          <w:rStyle w:val="8"/>
          <w:rFonts w:hint="default" w:ascii="Times New Roman" w:hAnsi="Times New Roman" w:cs="Times New Roman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 (далее - передача функций, связанных с привлечением (возвратом) средств).</w:t>
      </w:r>
    </w:p>
    <w:p w14:paraId="0BB80592">
      <w:pPr>
        <w:pStyle w:val="5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412E7C4">
      <w:pPr>
        <w:pStyle w:val="5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11. В случае передачи функций, связанных с привлечением (возвратом) средств, местная администрация согласовывает проект правового акта, устанавливающего (изменяющего) порядок привлечения остатков средств с казначейских счетов на единый счет местного бюджета и их возврата на казначейские счета, с которых они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были ранее перечислены, с территориальным органом Федерального казначейства, принявшим (принимающим) указанные функции.».</w:t>
      </w:r>
    </w:p>
    <w:p w14:paraId="49E7624C">
      <w:pPr>
        <w:rPr>
          <w:rFonts w:hint="default" w:ascii="Times New Roman" w:hAnsi="Times New Roman" w:cs="Times New Roman"/>
          <w:sz w:val="24"/>
          <w:szCs w:val="24"/>
        </w:rPr>
      </w:pPr>
    </w:p>
    <w:p w14:paraId="698DDAC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</w:p>
    <w:p w14:paraId="3F54DCFF">
      <w:pPr>
        <w:jc w:val="both"/>
      </w:pPr>
    </w:p>
    <w:p w14:paraId="1E5B453A">
      <w:pPr>
        <w:jc w:val="both"/>
      </w:pPr>
    </w:p>
    <w:p w14:paraId="415D9832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imes New Roman CYR">
    <w:altName w:val="Times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64143C"/>
    <w:multiLevelType w:val="multilevel"/>
    <w:tmpl w:val="7A64143C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76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">
    <w:name w:val="hyperlink"/>
    <w:basedOn w:val="2"/>
    <w:qFormat/>
    <w:uiPriority w:val="0"/>
  </w:style>
  <w:style w:type="paragraph" w:customStyle="1" w:styleId="7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8">
    <w:name w:val="Гиперссылка1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2025-01-22T08:05:51Z</dcterms:created>
  <dc:creator>пк</dc:creator>
  <cp:lastModifiedBy>пк</cp:lastModifiedBy>
  <dcterms:modified xsi:type="dcterms:W3CDTF">2025-01-22T08:11:11Z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3904288061B648D9B006E4D4ECC2FDEB_12</vt:lpwstr>
  </property>
</Properties>
</file>